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912" w:rsidRPr="00CD4FB8" w:rsidRDefault="009D0912" w:rsidP="00CD4FB8">
      <w:pPr>
        <w:jc w:val="center"/>
        <w:rPr>
          <w:b/>
          <w:sz w:val="28"/>
          <w:szCs w:val="28"/>
        </w:rPr>
      </w:pPr>
      <w:r w:rsidRPr="00CD4FB8">
        <w:rPr>
          <w:b/>
          <w:sz w:val="28"/>
          <w:szCs w:val="28"/>
        </w:rPr>
        <w:t xml:space="preserve">2019 </w:t>
      </w:r>
      <w:r w:rsidR="00CD4FB8">
        <w:rPr>
          <w:b/>
          <w:sz w:val="28"/>
          <w:szCs w:val="28"/>
        </w:rPr>
        <w:t xml:space="preserve">PLVD </w:t>
      </w:r>
      <w:r w:rsidRPr="00CD4FB8">
        <w:rPr>
          <w:b/>
          <w:sz w:val="28"/>
          <w:szCs w:val="28"/>
        </w:rPr>
        <w:t>PLAYGROUND SAFETY AUDIT</w:t>
      </w:r>
    </w:p>
    <w:p w:rsidR="009D0912" w:rsidRPr="00CD4FB8" w:rsidRDefault="009D0912" w:rsidP="009D0912">
      <w:pPr>
        <w:rPr>
          <w:b/>
        </w:rPr>
      </w:pPr>
      <w:r w:rsidRPr="00CD4FB8">
        <w:rPr>
          <w:b/>
        </w:rPr>
        <w:t>2019-01: Playground Surfacing Material: PRIORITY</w:t>
      </w:r>
    </w:p>
    <w:p w:rsidR="009D0912" w:rsidRDefault="009D0912" w:rsidP="009D0912">
      <w:r>
        <w:t>Reference: ASTM F-1487 Standard 13.2.1; 2223-10</w:t>
      </w:r>
    </w:p>
    <w:p w:rsidR="009D0912" w:rsidRDefault="009D0912" w:rsidP="009D0912">
      <w:r>
        <w:t>CPSC Handbook - Section 2.4 Table 2</w:t>
      </w:r>
    </w:p>
    <w:p w:rsidR="009D0912" w:rsidRDefault="009D0912" w:rsidP="009D0912">
      <w:pPr>
        <w:rPr>
          <w:b/>
        </w:rPr>
      </w:pPr>
      <w:r>
        <w:t>The Playground area and structures does not have approved surface material. The use of sand or pea gravel is not recommended due to its limited head impact attenuation and compaction properties. ADA compliant surface materials such as engineered wood fiber and shredded rubber are highly recommended. **In addition, sand and grass has infiltrated the play areas, resulting in little to no head impact attenuation protections. Surface material deficienci</w:t>
      </w:r>
      <w:r w:rsidR="00CD4FB8">
        <w:t>es must be promptly addressed**</w:t>
      </w:r>
      <w:r w:rsidRPr="00CD4FB8">
        <w:rPr>
          <w:b/>
        </w:rPr>
        <w:t>2019-02: Entrapment hazards: PRIORITY-Remove Equipment</w:t>
      </w:r>
    </w:p>
    <w:p w:rsidR="00484076" w:rsidRPr="00CD4FB8" w:rsidRDefault="00484076" w:rsidP="009D0912"/>
    <w:p w:rsidR="00572B1C" w:rsidRDefault="00572B1C" w:rsidP="009D0912">
      <w:r>
        <w:rPr>
          <w:noProof/>
        </w:rPr>
        <w:drawing>
          <wp:inline distT="0" distB="0" distL="0" distR="0" wp14:anchorId="63A56BB5" wp14:editId="5C21DBD0">
            <wp:extent cx="1535433" cy="1353426"/>
            <wp:effectExtent l="0" t="4128" r="3493" b="349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928_214406.jp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1542697" cy="1359829"/>
                    </a:xfrm>
                    <a:prstGeom prst="rect">
                      <a:avLst/>
                    </a:prstGeom>
                  </pic:spPr>
                </pic:pic>
              </a:graphicData>
            </a:graphic>
          </wp:inline>
        </w:drawing>
      </w:r>
      <w:r>
        <w:rPr>
          <w:noProof/>
        </w:rPr>
        <w:drawing>
          <wp:inline distT="0" distB="0" distL="0" distR="0" wp14:anchorId="3D952873" wp14:editId="1E3D92D4">
            <wp:extent cx="2439294" cy="1323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928_2144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0350" cy="1324548"/>
                    </a:xfrm>
                    <a:prstGeom prst="rect">
                      <a:avLst/>
                    </a:prstGeom>
                  </pic:spPr>
                </pic:pic>
              </a:graphicData>
            </a:graphic>
          </wp:inline>
        </w:drawing>
      </w:r>
    </w:p>
    <w:p w:rsidR="009D0912" w:rsidRDefault="009D0912" w:rsidP="009D0912">
      <w:r>
        <w:t>Reference: ASTM Standard 3.1.13</w:t>
      </w:r>
    </w:p>
    <w:p w:rsidR="009D0912" w:rsidRDefault="009D0912" w:rsidP="009D0912">
      <w:r>
        <w:t>CPSC Handbook – Section 3.3.1</w:t>
      </w:r>
    </w:p>
    <w:p w:rsidR="009D0912" w:rsidRDefault="009D0912" w:rsidP="009D0912">
      <w:r>
        <w:t>Note: Head Entrapment hazards have resulted in fatalities. As illustrated by the highlighted area in the picture, a child’s torso (probe in circle) may fit through the opening but the head (larger probe in circle) would not pass through creating an entrapment hazard.</w:t>
      </w:r>
    </w:p>
    <w:p w:rsidR="00572B1C" w:rsidRDefault="009D0912" w:rsidP="009D0912">
      <w:pPr>
        <w:rPr>
          <w:b/>
        </w:rPr>
      </w:pPr>
      <w:r w:rsidRPr="00CD4FB8">
        <w:rPr>
          <w:b/>
        </w:rPr>
        <w:t>2019-03: Entanglement hazard: PRIORITY-Remove Equipment</w:t>
      </w:r>
    </w:p>
    <w:p w:rsidR="00484076" w:rsidRPr="00CD4FB8" w:rsidRDefault="00484076" w:rsidP="009D0912">
      <w:pPr>
        <w:rPr>
          <w:b/>
        </w:rPr>
      </w:pPr>
    </w:p>
    <w:p w:rsidR="00572B1C" w:rsidRDefault="00572B1C" w:rsidP="009D0912">
      <w:r>
        <w:rPr>
          <w:noProof/>
        </w:rPr>
        <w:drawing>
          <wp:inline distT="0" distB="0" distL="0" distR="0" wp14:anchorId="1A68F2CC" wp14:editId="47373F9F">
            <wp:extent cx="1839467" cy="1508476"/>
            <wp:effectExtent l="0" t="6033" r="2858" b="285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928_214422.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849689" cy="1516859"/>
                    </a:xfrm>
                    <a:prstGeom prst="rect">
                      <a:avLst/>
                    </a:prstGeom>
                  </pic:spPr>
                </pic:pic>
              </a:graphicData>
            </a:graphic>
          </wp:inline>
        </w:drawing>
      </w:r>
    </w:p>
    <w:p w:rsidR="00572B1C" w:rsidRDefault="00572B1C" w:rsidP="009D0912">
      <w:r>
        <w:lastRenderedPageBreak/>
        <w:t>Reference: ASTM Standard 3.1.12</w:t>
      </w:r>
    </w:p>
    <w:p w:rsidR="009D0912" w:rsidRDefault="009D0912" w:rsidP="009D0912">
      <w:r>
        <w:t>CPSC Handbook – Section 3.2/3.2.1</w:t>
      </w:r>
    </w:p>
    <w:p w:rsidR="009D0912" w:rsidRDefault="009D0912" w:rsidP="009D0912">
      <w:r>
        <w:t xml:space="preserve">Note: Entanglement hazards can be potentially fatal. As illustrated by the highlighted areas in the picture. </w:t>
      </w:r>
    </w:p>
    <w:p w:rsidR="00CD4FB8" w:rsidRDefault="009D0912" w:rsidP="009D0912">
      <w:r w:rsidRPr="00CD4FB8">
        <w:rPr>
          <w:b/>
        </w:rPr>
        <w:t>2019-04: Multi Axis Swing: PRIORITY-Remove Equipment</w:t>
      </w:r>
      <w:r>
        <w:t xml:space="preserve"> </w:t>
      </w:r>
    </w:p>
    <w:p w:rsidR="009D0912" w:rsidRDefault="009D0912" w:rsidP="009D0912">
      <w:r>
        <w:t>Multi-axis swing should not be mounted on composite structures. Element should have a dedicated swing bay.</w:t>
      </w:r>
    </w:p>
    <w:p w:rsidR="00484076" w:rsidRDefault="00484076" w:rsidP="009D0912"/>
    <w:p w:rsidR="00572B1C" w:rsidRDefault="00572B1C" w:rsidP="009D0912">
      <w:r>
        <w:rPr>
          <w:noProof/>
        </w:rPr>
        <w:drawing>
          <wp:inline distT="0" distB="0" distL="0" distR="0" wp14:anchorId="05FAF8AE" wp14:editId="0822DCF8">
            <wp:extent cx="1849052" cy="1455721"/>
            <wp:effectExtent l="6033" t="0" r="5397" b="539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928_214428.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857712" cy="1462539"/>
                    </a:xfrm>
                    <a:prstGeom prst="rect">
                      <a:avLst/>
                    </a:prstGeom>
                  </pic:spPr>
                </pic:pic>
              </a:graphicData>
            </a:graphic>
          </wp:inline>
        </w:drawing>
      </w:r>
    </w:p>
    <w:p w:rsidR="00484076" w:rsidRDefault="00484076" w:rsidP="009D0912"/>
    <w:p w:rsidR="00484076" w:rsidRDefault="009D0912" w:rsidP="009D0912">
      <w:r>
        <w:t>Reference: ASTM F-1487 Standard 8.6.1.2 – 8.6.5.2</w:t>
      </w:r>
    </w:p>
    <w:p w:rsidR="009D0912" w:rsidRDefault="009D0912" w:rsidP="009D0912">
      <w:r>
        <w:t>CPSC Handbook - Section 5.3.8.4 – 5.3.8.4.1</w:t>
      </w:r>
    </w:p>
    <w:p w:rsidR="009D0912" w:rsidRDefault="00CD4FB8" w:rsidP="009D0912">
      <w:pPr>
        <w:rPr>
          <w:b/>
        </w:rPr>
      </w:pPr>
      <w:r>
        <w:t>.</w:t>
      </w:r>
      <w:r w:rsidR="009D0912" w:rsidRPr="00CD4FB8">
        <w:rPr>
          <w:b/>
        </w:rPr>
        <w:t>2019-05: To–Fro Swings: PRIORITY-Remove from Current Location</w:t>
      </w:r>
    </w:p>
    <w:p w:rsidR="00484076" w:rsidRPr="00CD4FB8" w:rsidRDefault="00484076" w:rsidP="009D0912"/>
    <w:p w:rsidR="00572B1C" w:rsidRDefault="00832499" w:rsidP="009D0912">
      <w:r>
        <w:rPr>
          <w:noProof/>
        </w:rPr>
        <w:drawing>
          <wp:inline distT="0" distB="0" distL="0" distR="0" wp14:anchorId="4AFB8885" wp14:editId="2EB12EF5">
            <wp:extent cx="1895665" cy="1452565"/>
            <wp:effectExtent l="0" t="6985"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928_214438.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905240" cy="1459902"/>
                    </a:xfrm>
                    <a:prstGeom prst="rect">
                      <a:avLst/>
                    </a:prstGeom>
                  </pic:spPr>
                </pic:pic>
              </a:graphicData>
            </a:graphic>
          </wp:inline>
        </w:drawing>
      </w:r>
    </w:p>
    <w:p w:rsidR="00484076" w:rsidRDefault="00484076" w:rsidP="009D0912"/>
    <w:p w:rsidR="00572B1C" w:rsidRDefault="009D0912" w:rsidP="009D0912">
      <w:r>
        <w:t>Reference: ASTM F-1487 Standard 9.4.1.1</w:t>
      </w:r>
    </w:p>
    <w:p w:rsidR="009D0912" w:rsidRDefault="009D0912" w:rsidP="009D0912">
      <w:r>
        <w:lastRenderedPageBreak/>
        <w:t>CPSC Handbook - Section 5.3.8.3.3</w:t>
      </w:r>
    </w:p>
    <w:p w:rsidR="009D0912" w:rsidRDefault="009D0912" w:rsidP="009D0912">
      <w:r>
        <w:t>The use zone is twice the distance of the swing chain from the pivot point to the surface material. In this case, the use zone must extend sixteen (16’) in front of the swings and the same for the rear. The use zone must include the protective surface material as described in 2019-01.</w:t>
      </w:r>
    </w:p>
    <w:p w:rsidR="00CD4FB8" w:rsidRDefault="009D0912" w:rsidP="009D0912">
      <w:r w:rsidRPr="00CD4FB8">
        <w:rPr>
          <w:b/>
        </w:rPr>
        <w:t xml:space="preserve">2019-06: Enclosed Buckets: PRIORITY-Remove Bucket </w:t>
      </w:r>
    </w:p>
    <w:p w:rsidR="009D0912" w:rsidRDefault="009D0912" w:rsidP="009D0912">
      <w:r>
        <w:t>Toddler buckets and / or special needs swings should not be mixed with other types of swings.</w:t>
      </w:r>
    </w:p>
    <w:p w:rsidR="00484076" w:rsidRDefault="00484076" w:rsidP="009D0912"/>
    <w:p w:rsidR="00832499" w:rsidRDefault="00832499" w:rsidP="009D0912">
      <w:r>
        <w:rPr>
          <w:noProof/>
        </w:rPr>
        <w:drawing>
          <wp:inline distT="0" distB="0" distL="0" distR="0" wp14:anchorId="271848AB" wp14:editId="69A88EA0">
            <wp:extent cx="1859424" cy="1450340"/>
            <wp:effectExtent l="0" t="508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928_214444.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863540" cy="1453551"/>
                    </a:xfrm>
                    <a:prstGeom prst="rect">
                      <a:avLst/>
                    </a:prstGeom>
                  </pic:spPr>
                </pic:pic>
              </a:graphicData>
            </a:graphic>
          </wp:inline>
        </w:drawing>
      </w:r>
    </w:p>
    <w:p w:rsidR="00484076" w:rsidRDefault="00484076" w:rsidP="009D0912"/>
    <w:p w:rsidR="009D0912" w:rsidRDefault="009D0912" w:rsidP="009D0912">
      <w:r>
        <w:t>Reference: ASTM F-1487 Standard 9.4.1.</w:t>
      </w:r>
    </w:p>
    <w:p w:rsidR="009D0912" w:rsidRDefault="009D0912" w:rsidP="009D0912">
      <w:r>
        <w:t>CPSC Handbook – Section 5.3.8.1</w:t>
      </w:r>
    </w:p>
    <w:p w:rsidR="009D0912" w:rsidRDefault="009D0912" w:rsidP="009D0912">
      <w:r>
        <w:t>Swings should not be mounted to composite structures. Use zone must be a minimum of 2X the length of the pivot point to the seat</w:t>
      </w:r>
    </w:p>
    <w:p w:rsidR="009D0912" w:rsidRDefault="009D0912" w:rsidP="009D0912">
      <w:pPr>
        <w:rPr>
          <w:b/>
        </w:rPr>
      </w:pPr>
      <w:r w:rsidRPr="00CD4FB8">
        <w:rPr>
          <w:b/>
        </w:rPr>
        <w:t>2019-07: Ship Structure: Fall Protections - PRIORITY-Remove</w:t>
      </w:r>
    </w:p>
    <w:p w:rsidR="00484076" w:rsidRPr="00CD4FB8" w:rsidRDefault="00484076" w:rsidP="009D0912">
      <w:pPr>
        <w:rPr>
          <w:b/>
        </w:rPr>
      </w:pPr>
    </w:p>
    <w:p w:rsidR="00832499" w:rsidRDefault="00832499" w:rsidP="009D0912">
      <w:r>
        <w:rPr>
          <w:noProof/>
        </w:rPr>
        <w:drawing>
          <wp:inline distT="0" distB="0" distL="0" distR="0" wp14:anchorId="2427FD0F" wp14:editId="2D23F63A">
            <wp:extent cx="2313908" cy="1301572"/>
            <wp:effectExtent l="0" t="8255"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928_214453.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317125" cy="1303382"/>
                    </a:xfrm>
                    <a:prstGeom prst="rect">
                      <a:avLst/>
                    </a:prstGeom>
                  </pic:spPr>
                </pic:pic>
              </a:graphicData>
            </a:graphic>
          </wp:inline>
        </w:drawing>
      </w:r>
      <w:r>
        <w:rPr>
          <w:noProof/>
        </w:rPr>
        <w:drawing>
          <wp:inline distT="0" distB="0" distL="0" distR="0" wp14:anchorId="3E25A38B" wp14:editId="44FFD9DF">
            <wp:extent cx="2335231" cy="1313567"/>
            <wp:effectExtent l="0" t="3492" r="4762" b="476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0928_214456.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337022" cy="1314574"/>
                    </a:xfrm>
                    <a:prstGeom prst="rect">
                      <a:avLst/>
                    </a:prstGeom>
                  </pic:spPr>
                </pic:pic>
              </a:graphicData>
            </a:graphic>
          </wp:inline>
        </w:drawing>
      </w:r>
      <w:r>
        <w:rPr>
          <w:noProof/>
        </w:rPr>
        <w:drawing>
          <wp:inline distT="0" distB="0" distL="0" distR="0" wp14:anchorId="43A2E331" wp14:editId="5AF29DB3">
            <wp:extent cx="2550795" cy="1682472"/>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928_2145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8554" cy="1694185"/>
                    </a:xfrm>
                    <a:prstGeom prst="rect">
                      <a:avLst/>
                    </a:prstGeom>
                  </pic:spPr>
                </pic:pic>
              </a:graphicData>
            </a:graphic>
          </wp:inline>
        </w:drawing>
      </w:r>
    </w:p>
    <w:p w:rsidR="00484076" w:rsidRDefault="00484076" w:rsidP="009D0912"/>
    <w:p w:rsidR="009D0912" w:rsidRDefault="009D0912" w:rsidP="009D0912">
      <w:r>
        <w:t>Reference: ASTM F-1487 Standard 7.5.5.2 / 7.5.6.3</w:t>
      </w:r>
    </w:p>
    <w:p w:rsidR="00CD4FB8" w:rsidRDefault="009D0912" w:rsidP="009D0912">
      <w:r>
        <w:t>CPSC Handbook-Section 5.1.3</w:t>
      </w:r>
    </w:p>
    <w:p w:rsidR="009D0912" w:rsidRDefault="009D0912" w:rsidP="009D0912">
      <w:r>
        <w:t>Due to the fall height of</w:t>
      </w:r>
      <w:r w:rsidR="00A70F7D">
        <w:t xml:space="preserve"> the structure, there must be a </w:t>
      </w:r>
      <w:r>
        <w:t>guardrail 38” in height.</w:t>
      </w:r>
      <w:r w:rsidR="00A70F7D">
        <w:t xml:space="preserve"> Even though this structure has </w:t>
      </w:r>
      <w:r>
        <w:t>functionality, d</w:t>
      </w:r>
      <w:r w:rsidR="00A70F7D">
        <w:t xml:space="preserve">ue to the height there are many </w:t>
      </w:r>
      <w:r>
        <w:t>hazards identified</w:t>
      </w:r>
      <w:r w:rsidR="00A70F7D">
        <w:t xml:space="preserve"> including the lack of approved </w:t>
      </w:r>
      <w:r>
        <w:t>surface material. The sl</w:t>
      </w:r>
      <w:r w:rsidR="00A70F7D">
        <w:t xml:space="preserve">iding pole contained within the </w:t>
      </w:r>
      <w:r>
        <w:t>mid</w:t>
      </w:r>
      <w:r w:rsidR="00A70F7D">
        <w:t>-</w:t>
      </w:r>
      <w:r>
        <w:t>ship section does</w:t>
      </w:r>
      <w:r w:rsidR="00A70F7D">
        <w:t xml:space="preserve"> not have the proper clearances </w:t>
      </w:r>
      <w:r>
        <w:t>and a fall from the top could result in serious injuries.</w:t>
      </w:r>
    </w:p>
    <w:p w:rsidR="009D0912" w:rsidRDefault="009D0912" w:rsidP="009D0912">
      <w:pPr>
        <w:rPr>
          <w:b/>
        </w:rPr>
      </w:pPr>
      <w:r w:rsidRPr="00CD4FB8">
        <w:rPr>
          <w:b/>
        </w:rPr>
        <w:t>2019-08: Merry-Go-Round: Clearances-PRIORITY-Remove</w:t>
      </w:r>
    </w:p>
    <w:p w:rsidR="00484076" w:rsidRPr="00CD4FB8" w:rsidRDefault="00484076" w:rsidP="009D0912">
      <w:pPr>
        <w:rPr>
          <w:b/>
        </w:rPr>
      </w:pPr>
    </w:p>
    <w:p w:rsidR="00832499" w:rsidRDefault="00832499" w:rsidP="009D0912">
      <w:r>
        <w:rPr>
          <w:noProof/>
        </w:rPr>
        <w:drawing>
          <wp:inline distT="0" distB="0" distL="0" distR="0" wp14:anchorId="5CDD27F7" wp14:editId="2B531CF4">
            <wp:extent cx="1465270" cy="975744"/>
            <wp:effectExtent l="0" t="2857"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0928_214513.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474327" cy="981775"/>
                    </a:xfrm>
                    <a:prstGeom prst="rect">
                      <a:avLst/>
                    </a:prstGeom>
                  </pic:spPr>
                </pic:pic>
              </a:graphicData>
            </a:graphic>
          </wp:inline>
        </w:drawing>
      </w:r>
    </w:p>
    <w:p w:rsidR="00484076" w:rsidRDefault="00484076" w:rsidP="009D0912"/>
    <w:p w:rsidR="009D0912" w:rsidRDefault="009D0912" w:rsidP="009D0912">
      <w:r>
        <w:t>Reference: ASTM F-1487 Standard 9.1.1 / 9.2.1</w:t>
      </w:r>
    </w:p>
    <w:p w:rsidR="009D0912" w:rsidRDefault="009D0912" w:rsidP="009D0912">
      <w:r>
        <w:t>CPSC Handbook – Sections 5.3.4</w:t>
      </w:r>
    </w:p>
    <w:p w:rsidR="009D0912" w:rsidRDefault="009D0912" w:rsidP="00A70F7D">
      <w:r>
        <w:t>Metal surfaces f</w:t>
      </w:r>
      <w:r w:rsidR="00A70F7D">
        <w:t xml:space="preserve">or playground structures is not </w:t>
      </w:r>
      <w:r>
        <w:t xml:space="preserve">recommended due to the overheating potential. </w:t>
      </w:r>
    </w:p>
    <w:p w:rsidR="009D0912" w:rsidRDefault="009D0912" w:rsidP="009D0912">
      <w:pPr>
        <w:rPr>
          <w:b/>
        </w:rPr>
      </w:pPr>
      <w:r w:rsidRPr="00CD4FB8">
        <w:rPr>
          <w:b/>
        </w:rPr>
        <w:t>2019-09: Maintenance of Components: Mod. Hazard-Remove</w:t>
      </w:r>
    </w:p>
    <w:p w:rsidR="00484076" w:rsidRPr="00CD4FB8" w:rsidRDefault="00484076" w:rsidP="009D0912">
      <w:pPr>
        <w:rPr>
          <w:b/>
        </w:rPr>
      </w:pPr>
    </w:p>
    <w:p w:rsidR="00832499" w:rsidRDefault="00832499" w:rsidP="009D0912">
      <w:r>
        <w:rPr>
          <w:noProof/>
        </w:rPr>
        <w:drawing>
          <wp:inline distT="0" distB="0" distL="0" distR="0" wp14:anchorId="746F66FE" wp14:editId="70CF0718">
            <wp:extent cx="2035351" cy="1567799"/>
            <wp:effectExtent l="5398" t="0" r="8572" b="857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928_214517.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044497" cy="1574844"/>
                    </a:xfrm>
                    <a:prstGeom prst="rect">
                      <a:avLst/>
                    </a:prstGeom>
                  </pic:spPr>
                </pic:pic>
              </a:graphicData>
            </a:graphic>
          </wp:inline>
        </w:drawing>
      </w:r>
    </w:p>
    <w:p w:rsidR="009D0912" w:rsidRDefault="009D0912" w:rsidP="009D0912">
      <w:r>
        <w:t>Reference: ASTM F-1487 Standard -Section 12 &amp; 13</w:t>
      </w:r>
    </w:p>
    <w:p w:rsidR="009D0912" w:rsidRDefault="009D0912" w:rsidP="009D0912">
      <w:r>
        <w:t>CPSC Handbook – Section 4.1</w:t>
      </w:r>
    </w:p>
    <w:p w:rsidR="009D0912" w:rsidRDefault="009D0912" w:rsidP="009D0912">
      <w:r>
        <w:lastRenderedPageBreak/>
        <w:t>Degradation of Structural</w:t>
      </w:r>
      <w:r w:rsidR="00A70F7D">
        <w:t xml:space="preserve"> Members is evident on some key </w:t>
      </w:r>
      <w:r>
        <w:t>components. Cracked and splintered members can injure users.</w:t>
      </w:r>
    </w:p>
    <w:p w:rsidR="009D0912" w:rsidRDefault="009D0912" w:rsidP="009D0912">
      <w:pPr>
        <w:rPr>
          <w:b/>
        </w:rPr>
      </w:pPr>
      <w:r w:rsidRPr="00CD4FB8">
        <w:rPr>
          <w:b/>
        </w:rPr>
        <w:t>2019-10: General Maintenance Hazards – Labelling &amp; Signage:</w:t>
      </w:r>
    </w:p>
    <w:p w:rsidR="00484076" w:rsidRPr="00CD4FB8" w:rsidRDefault="00484076" w:rsidP="009D0912">
      <w:pPr>
        <w:rPr>
          <w:b/>
        </w:rPr>
      </w:pPr>
    </w:p>
    <w:p w:rsidR="00832499" w:rsidRDefault="00832499" w:rsidP="009D0912">
      <w:r>
        <w:rPr>
          <w:noProof/>
        </w:rPr>
        <w:drawing>
          <wp:inline distT="0" distB="0" distL="0" distR="0" wp14:anchorId="4B184EA2" wp14:editId="7E8D8021">
            <wp:extent cx="1776712" cy="1830372"/>
            <wp:effectExtent l="0" t="7937" r="6667" b="666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928_214527.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781921" cy="1835738"/>
                    </a:xfrm>
                    <a:prstGeom prst="rect">
                      <a:avLst/>
                    </a:prstGeom>
                  </pic:spPr>
                </pic:pic>
              </a:graphicData>
            </a:graphic>
          </wp:inline>
        </w:drawing>
      </w:r>
      <w:r>
        <w:rPr>
          <w:noProof/>
        </w:rPr>
        <w:drawing>
          <wp:inline distT="0" distB="0" distL="0" distR="0" wp14:anchorId="4DCC7A58" wp14:editId="387E6AA5">
            <wp:extent cx="1872514" cy="1799891"/>
            <wp:effectExtent l="0" t="1905"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928_214531.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879546" cy="1806650"/>
                    </a:xfrm>
                    <a:prstGeom prst="rect">
                      <a:avLst/>
                    </a:prstGeom>
                  </pic:spPr>
                </pic:pic>
              </a:graphicData>
            </a:graphic>
          </wp:inline>
        </w:drawing>
      </w:r>
    </w:p>
    <w:p w:rsidR="00484076" w:rsidRDefault="00484076" w:rsidP="009D0912"/>
    <w:p w:rsidR="009D0912" w:rsidRDefault="009D0912" w:rsidP="009D0912">
      <w:r>
        <w:t>Moderate Hazard - Best Practice</w:t>
      </w:r>
    </w:p>
    <w:p w:rsidR="009D0912" w:rsidRDefault="009D0912" w:rsidP="009D0912">
      <w:r>
        <w:t>Reference: ASTM F-1487 Standard 14</w:t>
      </w:r>
    </w:p>
    <w:p w:rsidR="009D0912" w:rsidRDefault="009D0912" w:rsidP="009D0912">
      <w:r>
        <w:t>CPSC Handbook - Section 2.2.3; 2.2.6; 2.2.7</w:t>
      </w:r>
    </w:p>
    <w:p w:rsidR="009D0912" w:rsidRDefault="009D0912" w:rsidP="009D0912">
      <w:r>
        <w:t>The playground “User A</w:t>
      </w:r>
      <w:r w:rsidR="00A70F7D">
        <w:t xml:space="preserve">ge Group (s)” should be clearly </w:t>
      </w:r>
      <w:r>
        <w:t>defined and park rules s</w:t>
      </w:r>
      <w:r w:rsidR="00A70F7D">
        <w:t xml:space="preserve">hould be posted. In addition, a </w:t>
      </w:r>
      <w:r>
        <w:t>reference to “Parental</w:t>
      </w:r>
      <w:r w:rsidR="00A70F7D">
        <w:t xml:space="preserve"> / Guardian / Adult Supervision </w:t>
      </w:r>
      <w:r w:rsidR="00CD4FB8">
        <w:t>Required”, is a best proa</w:t>
      </w:r>
      <w:r>
        <w:t>ctive for preventing pla</w:t>
      </w:r>
      <w:r w:rsidR="00A70F7D">
        <w:t xml:space="preserve">yground </w:t>
      </w:r>
      <w:r>
        <w:t>related injuries. Si</w:t>
      </w:r>
      <w:r w:rsidR="00A70F7D">
        <w:t>gnage should be on Park Gates /</w:t>
      </w:r>
      <w:r>
        <w:t>Fencing and age appropri</w:t>
      </w:r>
      <w:r w:rsidR="00A70F7D">
        <w:t xml:space="preserve">ate labels should be affixed to </w:t>
      </w:r>
      <w:r>
        <w:t>playground structures.</w:t>
      </w:r>
    </w:p>
    <w:p w:rsidR="009D0912" w:rsidRPr="00CD4FB8" w:rsidRDefault="009D0912" w:rsidP="009D0912">
      <w:pPr>
        <w:rPr>
          <w:b/>
        </w:rPr>
      </w:pPr>
      <w:r w:rsidRPr="00CD4FB8">
        <w:rPr>
          <w:b/>
        </w:rPr>
        <w:t>General Risk Management Concerns</w:t>
      </w:r>
    </w:p>
    <w:p w:rsidR="009D0912" w:rsidRDefault="009D0912" w:rsidP="009D0912">
      <w:r>
        <w:t>2019-11: Structural Hazards: BB Backboards: Significant Hazard</w:t>
      </w:r>
    </w:p>
    <w:p w:rsidR="009D0912" w:rsidRDefault="009D0912" w:rsidP="009D0912">
      <w:r>
        <w:t>The wooden backboard struct</w:t>
      </w:r>
      <w:r w:rsidR="00A70F7D">
        <w:t xml:space="preserve">ures are showing excessive wear </w:t>
      </w:r>
      <w:r>
        <w:t>and could fail without warning.</w:t>
      </w:r>
      <w:r w:rsidR="00A70F7D">
        <w:t xml:space="preserve"> The structures are substantial </w:t>
      </w:r>
      <w:r>
        <w:t>in weight and could cause signific</w:t>
      </w:r>
      <w:r w:rsidR="00A70F7D">
        <w:t xml:space="preserve">ant injury to a user. It should </w:t>
      </w:r>
      <w:r>
        <w:t>be noted that only one back</w:t>
      </w:r>
      <w:r w:rsidR="00A70F7D">
        <w:t xml:space="preserve">board remains intact. The other </w:t>
      </w:r>
      <w:r>
        <w:t>post is void of any other st</w:t>
      </w:r>
      <w:r w:rsidR="00A70F7D">
        <w:t xml:space="preserve">ructures. The support posts are </w:t>
      </w:r>
      <w:r>
        <w:t xml:space="preserve">littered with nails / staples </w:t>
      </w:r>
      <w:r w:rsidR="00A70F7D">
        <w:t xml:space="preserve">and other fasteners which could cause injury as well. </w:t>
      </w:r>
      <w:r>
        <w:t>Recommend replacement of t</w:t>
      </w:r>
      <w:r w:rsidR="00A70F7D">
        <w:t xml:space="preserve">he support posts and backboards </w:t>
      </w:r>
      <w:r>
        <w:t>with com</w:t>
      </w:r>
      <w:r w:rsidR="00A70F7D">
        <w:t xml:space="preserve">mercial components designed and engineered for </w:t>
      </w:r>
      <w:r>
        <w:t>outdoor basketball courts.</w:t>
      </w:r>
    </w:p>
    <w:p w:rsidR="009D0912" w:rsidRPr="00CD4FB8" w:rsidRDefault="00CD4FB8" w:rsidP="009D0912">
      <w:pPr>
        <w:rPr>
          <w:b/>
        </w:rPr>
      </w:pPr>
      <w:r w:rsidRPr="00CD4FB8">
        <w:rPr>
          <w:b/>
        </w:rPr>
        <w:t>2019-12: Structural Hazards</w:t>
      </w:r>
      <w:r w:rsidR="009D0912" w:rsidRPr="00CD4FB8">
        <w:rPr>
          <w:b/>
        </w:rPr>
        <w:t>: Significant Hazard</w:t>
      </w:r>
    </w:p>
    <w:p w:rsidR="00484076" w:rsidRDefault="009D0912" w:rsidP="009D0912">
      <w:r>
        <w:t>There is a section of fen</w:t>
      </w:r>
      <w:r w:rsidR="00A70F7D">
        <w:t xml:space="preserve">cing located at the west end of </w:t>
      </w:r>
      <w:r>
        <w:t>the playground that h</w:t>
      </w:r>
      <w:r w:rsidR="00A70F7D">
        <w:t xml:space="preserve">as been removed. This condition </w:t>
      </w:r>
      <w:r>
        <w:t>now allows children to (</w:t>
      </w:r>
      <w:r w:rsidR="00A70F7D">
        <w:t xml:space="preserve">if unsupervised), wander to the </w:t>
      </w:r>
      <w:r>
        <w:t>water’s edge, and becom</w:t>
      </w:r>
      <w:r w:rsidR="00A70F7D">
        <w:t xml:space="preserve">e hidden by vegetation and lack of available site lines. </w:t>
      </w:r>
      <w:r>
        <w:t>Replace fence section to maintain playground security.</w:t>
      </w:r>
    </w:p>
    <w:p w:rsidR="00484076" w:rsidRDefault="00484076" w:rsidP="009D0912"/>
    <w:p w:rsidR="00572B1C" w:rsidRDefault="00572B1C" w:rsidP="009D0912">
      <w:bookmarkStart w:id="0" w:name="_GoBack"/>
      <w:bookmarkEnd w:id="0"/>
      <w:r>
        <w:rPr>
          <w:noProof/>
        </w:rPr>
        <w:lastRenderedPageBreak/>
        <w:drawing>
          <wp:inline distT="0" distB="0" distL="0" distR="0">
            <wp:extent cx="2130804" cy="1433146"/>
            <wp:effectExtent l="6033" t="0" r="9207" b="9208"/>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928_214538.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136456" cy="1436948"/>
                    </a:xfrm>
                    <a:prstGeom prst="rect">
                      <a:avLst/>
                    </a:prstGeom>
                  </pic:spPr>
                </pic:pic>
              </a:graphicData>
            </a:graphic>
          </wp:inline>
        </w:drawing>
      </w:r>
      <w:r>
        <w:rPr>
          <w:noProof/>
        </w:rPr>
        <w:drawing>
          <wp:inline distT="0" distB="0" distL="0" distR="0">
            <wp:extent cx="2216150" cy="1688979"/>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928_21455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21723" cy="1693226"/>
                    </a:xfrm>
                    <a:prstGeom prst="rect">
                      <a:avLst/>
                    </a:prstGeom>
                  </pic:spPr>
                </pic:pic>
              </a:graphicData>
            </a:graphic>
          </wp:inline>
        </w:drawing>
      </w:r>
    </w:p>
    <w:p w:rsidR="00C15EE0" w:rsidRDefault="00C15EE0" w:rsidP="009D0912"/>
    <w:sectPr w:rsidR="00C15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12"/>
    <w:rsid w:val="00113CC1"/>
    <w:rsid w:val="00484076"/>
    <w:rsid w:val="00572B1C"/>
    <w:rsid w:val="00832499"/>
    <w:rsid w:val="009D0912"/>
    <w:rsid w:val="00A70F7D"/>
    <w:rsid w:val="00C15EE0"/>
    <w:rsid w:val="00CD4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37DBD-1D51-4F77-B031-A4942AE1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Vasquez</dc:creator>
  <cp:keywords/>
  <dc:description/>
  <cp:lastModifiedBy>Alisa Vasquez</cp:lastModifiedBy>
  <cp:revision>2</cp:revision>
  <dcterms:created xsi:type="dcterms:W3CDTF">2019-09-29T03:03:00Z</dcterms:created>
  <dcterms:modified xsi:type="dcterms:W3CDTF">2019-09-29T03:03:00Z</dcterms:modified>
</cp:coreProperties>
</file>